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2836500</wp:posOffset>
            </wp:positionH>
            <wp:positionV relativeFrom="paragraph">
              <wp:posOffset>-439242</wp:posOffset>
            </wp:positionV>
            <wp:extent cx="635763" cy="514350"/>
            <wp:effectExtent b="0" l="0" r="0" t="0"/>
            <wp:wrapNone/>
            <wp:docPr descr="Descripción: NUEVO LOGO COLEGIO" id="3" name="image3.png"/>
            <a:graphic>
              <a:graphicData uri="http://schemas.openxmlformats.org/drawingml/2006/picture">
                <pic:pic>
                  <pic:nvPicPr>
                    <pic:cNvPr descr="Descripción: NUEVO LOGO COLEGI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763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 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Octavo Básico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21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1020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8647"/>
        <w:tblGridChange w:id="0">
          <w:tblGrid>
            <w:gridCol w:w="1560"/>
            <w:gridCol w:w="8647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vocabulary and grammar structures from Unit 1.</w:t>
            </w:r>
          </w:p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you learned from unit 1.</w:t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Grammar Review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Possessive Pronouns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Be going to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Modal verb: Should and shouldn’t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Skimming and scanning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So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(connectors)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Expressing preferences: Enjoy, like, love don’t like, hate, don’t mind.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Formal e-mail structure.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1.000.000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Apps and their uses   - Download      -Upload    -Delete    -Share   -Post                      -Platform   -Social networks    - cell phone     -Computers    -website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pos="1935"/>
        </w:tabs>
        <w:jc w:val="center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23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402"/>
        <w:gridCol w:w="3828"/>
        <w:tblGridChange w:id="0">
          <w:tblGrid>
            <w:gridCol w:w="2830"/>
            <w:gridCol w:w="3402"/>
            <w:gridCol w:w="3828"/>
          </w:tblGrid>
        </w:tblGridChange>
      </w:tblGrid>
      <w:tr>
        <w:tc>
          <w:tcPr/>
          <w:p w:rsidR="00000000" w:rsidDel="00000000" w:rsidP="00000000" w:rsidRDefault="00000000" w:rsidRPr="00000000" w14:paraId="0000002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“THEY” means: </w:t>
            </w:r>
          </w:p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Ellos /Ustedes</w:t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Nosotros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We</w:t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 I-you-we-they-he-she-it are:</w:t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Personal pronouns</w:t>
            </w:r>
          </w:p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Possessive pronouns</w:t>
            </w:r>
          </w:p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Adjective pronouns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The phrase “It is MINE” means:</w:t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Eso es de ellos</w:t>
            </w:r>
          </w:p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Eso es de ella</w:t>
            </w:r>
          </w:p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Eso es mío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 La frase “ Eso es TUYO” en inglés es:</w:t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It is yours</w:t>
            </w:r>
          </w:p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It is Theirs</w:t>
            </w:r>
          </w:p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It is Mine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Mine-Yours- Theirs- Our-Hers-His are:</w:t>
            </w:r>
          </w:p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Adjective pronouns</w:t>
            </w:r>
          </w:p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Personal pronouns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Possessive pronouns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“I’m going to sleep” it’s a:</w:t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sentence</w:t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Affirmative sentence</w:t>
            </w:r>
          </w:p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Interrogative sentence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8.“Is he going to eat,today? It’s a:</w:t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Affirmative sentence</w:t>
            </w:r>
          </w:p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Interrogative sentence</w:t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Negative sentence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The structure of a negative sentence is:</w:t>
            </w:r>
          </w:p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a)S+verb to be+not+going to+compl</w:t>
            </w:r>
          </w:p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b)S+verb to be+ going to + compl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260"/>
        <w:gridCol w:w="3588"/>
        <w:tblGridChange w:id="0">
          <w:tblGrid>
            <w:gridCol w:w="3114"/>
            <w:gridCol w:w="3260"/>
            <w:gridCol w:w="3588"/>
          </w:tblGrid>
        </w:tblGridChange>
      </w:tblGrid>
      <w:tr>
        <w:tc>
          <w:tcPr/>
          <w:p w:rsidR="00000000" w:rsidDel="00000000" w:rsidP="00000000" w:rsidRDefault="00000000" w:rsidRPr="00000000" w14:paraId="0000005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We use SHOULD &amp; SHOULDN’T to:</w:t>
            </w:r>
          </w:p>
          <w:p w:rsidR="00000000" w:rsidDel="00000000" w:rsidP="00000000" w:rsidRDefault="00000000" w:rsidRPr="00000000" w14:paraId="0000005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For obligations</w:t>
            </w:r>
          </w:p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For advices</w:t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None of the above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The structure of should is…</w:t>
            </w:r>
          </w:p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S+ SHOULD + verb + compl</w:t>
            </w:r>
          </w:p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S+ verb + SHOULD + compl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The conector “SO” expresses:</w:t>
            </w:r>
          </w:p>
          <w:p w:rsidR="00000000" w:rsidDel="00000000" w:rsidP="00000000" w:rsidRDefault="00000000" w:rsidRPr="00000000" w14:paraId="0000006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addition</w:t>
            </w:r>
          </w:p>
          <w:p w:rsidR="00000000" w:rsidDel="00000000" w:rsidP="00000000" w:rsidRDefault="00000000" w:rsidRPr="00000000" w14:paraId="0000006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consequence</w:t>
            </w:r>
          </w:p>
          <w:p w:rsidR="00000000" w:rsidDel="00000000" w:rsidP="00000000" w:rsidRDefault="00000000" w:rsidRPr="00000000" w14:paraId="0000006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contrast</w:t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13.“Love, enjoy and like” expresses:</w:t>
            </w:r>
          </w:p>
          <w:p w:rsidR="00000000" w:rsidDel="00000000" w:rsidP="00000000" w:rsidRDefault="00000000" w:rsidRPr="00000000" w14:paraId="0000006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preferences</w:t>
            </w:r>
          </w:p>
          <w:p w:rsidR="00000000" w:rsidDel="00000000" w:rsidP="00000000" w:rsidRDefault="00000000" w:rsidRPr="00000000" w14:paraId="0000006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Positive Preferences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14.“Hate, don’t like” expresses:</w:t>
            </w:r>
          </w:p>
          <w:p w:rsidR="00000000" w:rsidDel="00000000" w:rsidP="00000000" w:rsidRDefault="00000000" w:rsidRPr="00000000" w14:paraId="0000006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preferences</w:t>
            </w:r>
          </w:p>
          <w:p w:rsidR="00000000" w:rsidDel="00000000" w:rsidP="00000000" w:rsidRDefault="00000000" w:rsidRPr="00000000" w14:paraId="0000006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Positive preferences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We use the formal email with:</w:t>
            </w:r>
          </w:p>
          <w:p w:rsidR="00000000" w:rsidDel="00000000" w:rsidP="00000000" w:rsidRDefault="00000000" w:rsidRPr="00000000" w14:paraId="0000006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people we don’t know much</w:t>
            </w:r>
          </w:p>
          <w:p w:rsidR="00000000" w:rsidDel="00000000" w:rsidP="00000000" w:rsidRDefault="00000000" w:rsidRPr="00000000" w14:paraId="0000007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friends and family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  One + sixteen + four + 9 =</w:t>
            </w:r>
          </w:p>
          <w:p w:rsidR="00000000" w:rsidDel="00000000" w:rsidP="00000000" w:rsidRDefault="00000000" w:rsidRPr="00000000" w14:paraId="0000007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thirteen</w:t>
            </w:r>
          </w:p>
          <w:p w:rsidR="00000000" w:rsidDel="00000000" w:rsidP="00000000" w:rsidRDefault="00000000" w:rsidRPr="00000000" w14:paraId="0000007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thirty</w:t>
            </w:r>
          </w:p>
          <w:p w:rsidR="00000000" w:rsidDel="00000000" w:rsidP="00000000" w:rsidRDefault="00000000" w:rsidRPr="00000000" w14:paraId="0000007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three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 thirteen + fifty + seven + 30=</w:t>
            </w:r>
          </w:p>
          <w:p w:rsidR="00000000" w:rsidDel="00000000" w:rsidP="00000000" w:rsidRDefault="00000000" w:rsidRPr="00000000" w14:paraId="0000007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one hundred</w:t>
            </w:r>
          </w:p>
          <w:p w:rsidR="00000000" w:rsidDel="00000000" w:rsidP="00000000" w:rsidRDefault="00000000" w:rsidRPr="00000000" w14:paraId="0000007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 ninety</w:t>
            </w:r>
          </w:p>
          <w:p w:rsidR="00000000" w:rsidDel="00000000" w:rsidP="00000000" w:rsidRDefault="00000000" w:rsidRPr="00000000" w14:paraId="0000007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eighty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 one million/10.000 – fifty + 30 =</w:t>
            </w:r>
          </w:p>
          <w:p w:rsidR="00000000" w:rsidDel="00000000" w:rsidP="00000000" w:rsidRDefault="00000000" w:rsidRPr="00000000" w14:paraId="0000007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eighteen</w:t>
            </w:r>
          </w:p>
          <w:p w:rsidR="00000000" w:rsidDel="00000000" w:rsidP="00000000" w:rsidRDefault="00000000" w:rsidRPr="00000000" w14:paraId="0000008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ninety</w:t>
            </w:r>
          </w:p>
          <w:p w:rsidR="00000000" w:rsidDel="00000000" w:rsidP="00000000" w:rsidRDefault="00000000" w:rsidRPr="00000000" w14:paraId="0000008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eighty</w:t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19. What is an app?</w:t>
            </w:r>
          </w:p>
          <w:p w:rsidR="00000000" w:rsidDel="00000000" w:rsidP="00000000" w:rsidRDefault="00000000" w:rsidRPr="00000000" w14:paraId="0000008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Abbreviation of the fruit APPLE</w:t>
            </w:r>
          </w:p>
          <w:p w:rsidR="00000000" w:rsidDel="00000000" w:rsidP="00000000" w:rsidRDefault="00000000" w:rsidRPr="00000000" w14:paraId="0000008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 software especially used on smartphones.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“UPLOAD” means:</w:t>
            </w:r>
          </w:p>
          <w:p w:rsidR="00000000" w:rsidDel="00000000" w:rsidP="00000000" w:rsidRDefault="00000000" w:rsidRPr="00000000" w14:paraId="0000008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Descargar</w:t>
            </w:r>
          </w:p>
          <w:p w:rsidR="00000000" w:rsidDel="00000000" w:rsidP="00000000" w:rsidRDefault="00000000" w:rsidRPr="00000000" w14:paraId="0000008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Desinstalar</w:t>
            </w:r>
          </w:p>
          <w:p w:rsidR="00000000" w:rsidDel="00000000" w:rsidP="00000000" w:rsidRDefault="00000000" w:rsidRPr="00000000" w14:paraId="0000008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Subir o cargar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“WEB SITE” means:</w:t>
            </w:r>
          </w:p>
          <w:p w:rsidR="00000000" w:rsidDel="00000000" w:rsidP="00000000" w:rsidRDefault="00000000" w:rsidRPr="00000000" w14:paraId="0000008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 place on the internet where information is available</w:t>
            </w:r>
          </w:p>
          <w:p w:rsidR="00000000" w:rsidDel="00000000" w:rsidP="00000000" w:rsidRDefault="00000000" w:rsidRPr="00000000" w14:paraId="0000009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 type of net from a spider</w:t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113974</wp:posOffset>
                </wp:positionV>
                <wp:extent cx="6349852" cy="676275"/>
                <wp:effectExtent b="28575" l="19050" r="13335" t="1905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852" cy="676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113974</wp:posOffset>
                </wp:positionV>
                <wp:extent cx="6382237" cy="723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2237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ff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rtl w:val="0"/>
        </w:rPr>
        <w:t xml:space="preserve">Recuerda!! :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En caso de tener dudas o consultas sobre las actividades de alguna guía, no duden en escribir al      correo 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0563c1"/>
            <w:sz w:val="18"/>
            <w:szCs w:val="18"/>
            <w:u w:val="single"/>
            <w:rtl w:val="0"/>
          </w:rPr>
          <w:t xml:space="preserve">idiomaextranjeroingles.cnt@gmail.com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 . Así mismo, si es posible tomar fotos y/o enviar las guías de trabajo de inglés realizadas para ser revisadas y entregar retroalimentación de sus trabajos.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95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Interpretar repertorio musical demostrando dominio en la ejecución instrumental.</w:t>
      </w:r>
    </w:p>
    <w:p w:rsidR="00000000" w:rsidDel="00000000" w:rsidP="00000000" w:rsidRDefault="00000000" w:rsidRPr="00000000" w14:paraId="00000096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 invito a ver el video de El derecho de Vivir con la melodía interpretada en Flauta, Teclado y la última estrofa cantada a dos voces. </w:t>
      </w:r>
    </w:p>
    <w:p w:rsidR="00000000" w:rsidDel="00000000" w:rsidP="00000000" w:rsidRDefault="00000000" w:rsidRPr="00000000" w14:paraId="0000009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Además puedes descargar el audio de la guitarra para usarlo como pista de acompañamiento. </w:t>
      </w:r>
    </w:p>
    <w:p w:rsidR="00000000" w:rsidDel="00000000" w:rsidP="00000000" w:rsidRDefault="00000000" w:rsidRPr="00000000" w14:paraId="0000009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Link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entury Gothic" w:cs="Century Gothic" w:eastAsia="Century Gothic" w:hAnsi="Century Gothic"/>
          <w:sz w:val="22"/>
          <w:szCs w:val="22"/>
        </w:rPr>
      </w:pP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2"/>
            <w:szCs w:val="22"/>
            <w:u w:val="single"/>
            <w:rtl w:val="0"/>
          </w:rPr>
          <w:t xml:space="preserve">https://youtu.be/eshr06TiYKc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9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tabs>
          <w:tab w:val="left" w:pos="1110"/>
        </w:tabs>
        <w:ind w:right="181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risbamusica@gmail.com" TargetMode="External"/><Relationship Id="rId10" Type="http://schemas.openxmlformats.org/officeDocument/2006/relationships/hyperlink" Target="https://youtu.be/eshr06TiYKc" TargetMode="External"/><Relationship Id="rId9" Type="http://schemas.openxmlformats.org/officeDocument/2006/relationships/hyperlink" Target="mailto:idiomaextranjeroingles.cnt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