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0118" w:rsidRPr="00F6255A" w:rsidRDefault="00280118" w:rsidP="00280118">
      <w:pPr>
        <w:rPr>
          <w:rFonts w:ascii="Arial Narrow" w:hAnsi="Arial Narrow"/>
        </w:rPr>
      </w:pPr>
      <w:r>
        <w:rPr>
          <w:noProof/>
          <w:lang w:val="es-CL" w:eastAsia="es-CL"/>
        </w:rPr>
        <w:drawing>
          <wp:anchor distT="0" distB="0" distL="114300" distR="114300" simplePos="0" relativeHeight="251659264" behindDoc="1" locked="0" layoutInCell="1" allowOverlap="1" wp14:anchorId="36E70496" wp14:editId="57A7B69C">
            <wp:simplePos x="0" y="0"/>
            <wp:positionH relativeFrom="margin">
              <wp:align>center</wp:align>
            </wp:positionH>
            <wp:positionV relativeFrom="paragraph">
              <wp:posOffset>-288290</wp:posOffset>
            </wp:positionV>
            <wp:extent cx="914400" cy="739775"/>
            <wp:effectExtent l="0" t="0" r="0" b="3175"/>
            <wp:wrapNone/>
            <wp:docPr id="1" name="Imagen 1" descr="Descripción: NUEVO LOGO COLEG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NUEVO LOGO COLEGI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14400" cy="7397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80118" w:rsidRPr="00F6255A" w:rsidRDefault="00280118" w:rsidP="00280118">
      <w:pPr>
        <w:jc w:val="center"/>
        <w:rPr>
          <w:rFonts w:ascii="Arial Narrow" w:hAnsi="Arial Narrow"/>
        </w:rPr>
      </w:pPr>
    </w:p>
    <w:p w:rsidR="00280118" w:rsidRPr="00F6255A" w:rsidRDefault="00280118" w:rsidP="00280118">
      <w:pPr>
        <w:pBdr>
          <w:bottom w:val="single" w:sz="12" w:space="1" w:color="auto"/>
        </w:pBdr>
        <w:jc w:val="center"/>
        <w:rPr>
          <w:rFonts w:ascii="Poor Richard" w:hAnsi="Poor Richard"/>
          <w:b/>
          <w:sz w:val="28"/>
          <w:szCs w:val="28"/>
        </w:rPr>
      </w:pPr>
    </w:p>
    <w:p w:rsidR="00280118" w:rsidRDefault="00280118" w:rsidP="00280118">
      <w:pPr>
        <w:pBdr>
          <w:bottom w:val="single" w:sz="12" w:space="1" w:color="auto"/>
        </w:pBdr>
        <w:jc w:val="center"/>
        <w:rPr>
          <w:rFonts w:ascii="Bookman Old Style" w:hAnsi="Bookman Old Style"/>
          <w:b/>
          <w:sz w:val="20"/>
          <w:szCs w:val="20"/>
        </w:rPr>
      </w:pPr>
      <w:r w:rsidRPr="00F6255A">
        <w:rPr>
          <w:rFonts w:ascii="Bookman Old Style" w:hAnsi="Bookman Old Style"/>
          <w:b/>
          <w:sz w:val="20"/>
          <w:szCs w:val="20"/>
        </w:rPr>
        <w:t xml:space="preserve">COLEGIO NUESTRO TIEMPO - R.B.D.: 14.507-6 </w:t>
      </w:r>
    </w:p>
    <w:p w:rsidR="00280118" w:rsidRPr="00F6255A" w:rsidRDefault="00280118" w:rsidP="00280118">
      <w:pPr>
        <w:pBdr>
          <w:bottom w:val="single" w:sz="12" w:space="1" w:color="auto"/>
        </w:pBdr>
        <w:jc w:val="center"/>
        <w:rPr>
          <w:rFonts w:ascii="Bookman Old Style" w:hAnsi="Bookman Old Style"/>
          <w:b/>
          <w:sz w:val="20"/>
          <w:szCs w:val="20"/>
        </w:rPr>
      </w:pPr>
      <w:r>
        <w:rPr>
          <w:rFonts w:ascii="Bookman Old Style" w:hAnsi="Bookman Old Style"/>
          <w:b/>
          <w:sz w:val="20"/>
          <w:szCs w:val="20"/>
        </w:rPr>
        <w:t>Profesor: Sr. Jorge Vilches Sotelo</w:t>
      </w:r>
    </w:p>
    <w:p w:rsidR="00280118" w:rsidRPr="00533C7F" w:rsidRDefault="00280118" w:rsidP="00533C7F">
      <w:pPr>
        <w:ind w:left="1416"/>
        <w:jc w:val="center"/>
        <w:rPr>
          <w:rFonts w:ascii="Arial Narrow" w:hAnsi="Arial Narrow" w:cs="Arial"/>
          <w:b/>
          <w:sz w:val="22"/>
          <w:szCs w:val="22"/>
        </w:rPr>
      </w:pPr>
      <w:r w:rsidRPr="00533C7F">
        <w:rPr>
          <w:rFonts w:ascii="Arial Narrow" w:hAnsi="Arial Narrow" w:cs="Arial"/>
          <w:b/>
          <w:sz w:val="22"/>
          <w:szCs w:val="22"/>
        </w:rPr>
        <w:t>ETICA Y VALORES</w:t>
      </w:r>
    </w:p>
    <w:p w:rsidR="00280118" w:rsidRDefault="00280118" w:rsidP="00280118">
      <w:pPr>
        <w:ind w:left="1416"/>
        <w:rPr>
          <w:rFonts w:ascii="Arial Narrow" w:hAnsi="Arial Narrow" w:cs="Arial"/>
          <w:sz w:val="22"/>
          <w:szCs w:val="22"/>
        </w:rPr>
      </w:pPr>
    </w:p>
    <w:p w:rsidR="00280118" w:rsidRPr="00533C7F" w:rsidRDefault="00280118" w:rsidP="00280118">
      <w:pPr>
        <w:jc w:val="both"/>
        <w:rPr>
          <w:rFonts w:ascii="Century Gothic" w:hAnsi="Century Gothic" w:cs="Arial"/>
          <w:b/>
          <w:sz w:val="22"/>
          <w:szCs w:val="22"/>
        </w:rPr>
      </w:pPr>
      <w:r w:rsidRPr="00533C7F">
        <w:rPr>
          <w:rFonts w:ascii="Century Gothic" w:hAnsi="Century Gothic" w:cs="Arial"/>
          <w:b/>
          <w:sz w:val="22"/>
          <w:szCs w:val="22"/>
        </w:rPr>
        <w:t xml:space="preserve">Fecha. </w:t>
      </w:r>
      <w:r w:rsidR="00981CCF" w:rsidRPr="00533C7F">
        <w:rPr>
          <w:rFonts w:ascii="Century Gothic" w:hAnsi="Century Gothic" w:cs="Arial"/>
          <w:b/>
          <w:sz w:val="22"/>
          <w:szCs w:val="22"/>
        </w:rPr>
        <w:t>22/28/29</w:t>
      </w:r>
      <w:r w:rsidRPr="00533C7F">
        <w:rPr>
          <w:rFonts w:ascii="Century Gothic" w:hAnsi="Century Gothic" w:cs="Arial"/>
          <w:b/>
          <w:sz w:val="22"/>
          <w:szCs w:val="22"/>
        </w:rPr>
        <w:t xml:space="preserve"> de mayo 2020                     </w:t>
      </w:r>
    </w:p>
    <w:p w:rsidR="00280118" w:rsidRPr="00533C7F" w:rsidRDefault="00981CCF" w:rsidP="00280118">
      <w:pPr>
        <w:jc w:val="both"/>
        <w:rPr>
          <w:rFonts w:ascii="Century Gothic" w:hAnsi="Century Gothic" w:cs="Arial"/>
          <w:b/>
          <w:sz w:val="22"/>
          <w:szCs w:val="22"/>
        </w:rPr>
      </w:pPr>
      <w:r w:rsidRPr="00533C7F">
        <w:rPr>
          <w:rFonts w:ascii="Century Gothic" w:hAnsi="Century Gothic" w:cs="Arial"/>
          <w:b/>
          <w:sz w:val="22"/>
          <w:szCs w:val="22"/>
        </w:rPr>
        <w:t>Cursos: de 5º y 6º</w:t>
      </w:r>
    </w:p>
    <w:p w:rsidR="00280118" w:rsidRPr="00533C7F" w:rsidRDefault="00280118" w:rsidP="00533C7F">
      <w:pPr>
        <w:jc w:val="center"/>
        <w:rPr>
          <w:rFonts w:ascii="Century Gothic" w:hAnsi="Century Gothic" w:cs="Arial"/>
          <w:sz w:val="22"/>
          <w:szCs w:val="22"/>
        </w:rPr>
      </w:pPr>
      <w:r w:rsidRPr="00533C7F">
        <w:rPr>
          <w:rFonts w:ascii="Century Gothic" w:hAnsi="Century Gothic" w:cs="Arial"/>
          <w:sz w:val="22"/>
          <w:szCs w:val="22"/>
        </w:rPr>
        <w:t xml:space="preserve">TEMA: </w:t>
      </w:r>
      <w:r w:rsidR="00981CCF" w:rsidRPr="00533C7F">
        <w:rPr>
          <w:rFonts w:ascii="Century Gothic" w:hAnsi="Century Gothic" w:cs="Arial"/>
          <w:sz w:val="22"/>
          <w:szCs w:val="22"/>
        </w:rPr>
        <w:t>RESPONSABILIDAD</w:t>
      </w:r>
    </w:p>
    <w:p w:rsidR="00633530" w:rsidRPr="00533C7F" w:rsidRDefault="00633530" w:rsidP="00280118">
      <w:pPr>
        <w:jc w:val="both"/>
        <w:rPr>
          <w:rFonts w:ascii="Century Gothic" w:hAnsi="Century Gothic" w:cs="Arial"/>
          <w:sz w:val="22"/>
          <w:szCs w:val="22"/>
        </w:rPr>
      </w:pPr>
    </w:p>
    <w:p w:rsidR="00633530" w:rsidRPr="00533C7F" w:rsidRDefault="00633530" w:rsidP="00280118">
      <w:pPr>
        <w:jc w:val="both"/>
        <w:rPr>
          <w:rFonts w:ascii="Century Gothic" w:hAnsi="Century Gothic" w:cs="Arial"/>
          <w:b/>
          <w:sz w:val="22"/>
          <w:szCs w:val="22"/>
        </w:rPr>
      </w:pPr>
      <w:r w:rsidRPr="00533C7F">
        <w:rPr>
          <w:rFonts w:ascii="Century Gothic" w:hAnsi="Century Gothic" w:cs="Arial"/>
          <w:b/>
          <w:sz w:val="22"/>
          <w:szCs w:val="22"/>
        </w:rPr>
        <w:t>¿</w:t>
      </w:r>
      <w:r w:rsidR="00533C7F" w:rsidRPr="00533C7F">
        <w:rPr>
          <w:rFonts w:ascii="Century Gothic" w:hAnsi="Century Gothic" w:cs="Arial"/>
          <w:b/>
          <w:sz w:val="22"/>
          <w:szCs w:val="22"/>
        </w:rPr>
        <w:t>Qué</w:t>
      </w:r>
      <w:r w:rsidRPr="00533C7F">
        <w:rPr>
          <w:rFonts w:ascii="Century Gothic" w:hAnsi="Century Gothic" w:cs="Arial"/>
          <w:b/>
          <w:sz w:val="22"/>
          <w:szCs w:val="22"/>
        </w:rPr>
        <w:t xml:space="preserve"> es la responsabilidad?</w:t>
      </w:r>
    </w:p>
    <w:p w:rsidR="003844E5" w:rsidRPr="00533C7F" w:rsidRDefault="003844E5" w:rsidP="003844E5">
      <w:pPr>
        <w:shd w:val="clear" w:color="auto" w:fill="FFFFFF"/>
        <w:spacing w:line="357" w:lineRule="atLeast"/>
        <w:jc w:val="both"/>
        <w:textAlignment w:val="baseline"/>
        <w:rPr>
          <w:rFonts w:ascii="Century Gothic" w:hAnsi="Century Gothic" w:cs="Arial"/>
          <w:color w:val="333333"/>
          <w:sz w:val="22"/>
          <w:szCs w:val="22"/>
          <w:lang w:val="es-ES" w:eastAsia="en-US"/>
        </w:rPr>
      </w:pPr>
      <w:r w:rsidRPr="00533C7F">
        <w:rPr>
          <w:rFonts w:ascii="Century Gothic" w:hAnsi="Century Gothic" w:cs="Arial"/>
          <w:color w:val="333333"/>
          <w:sz w:val="22"/>
          <w:szCs w:val="22"/>
          <w:lang w:val="es-ES" w:eastAsia="en-US"/>
        </w:rPr>
        <w:t>Ser responsable implica tener la capacidad de cumplir con unos compromisos concretos. Del mismo modo, también es un gesto de responsabilidad tener la capacidad de cumplir con los compromisos sociales. Es un gesto de falta de responsabilidad llegar tarde a una cita con un amigo porque es importante valorar el tiempo de los demás.</w:t>
      </w:r>
    </w:p>
    <w:p w:rsidR="003844E5" w:rsidRPr="00533C7F" w:rsidRDefault="003844E5" w:rsidP="003844E5">
      <w:pPr>
        <w:shd w:val="clear" w:color="auto" w:fill="FFFFFF"/>
        <w:spacing w:line="357" w:lineRule="atLeast"/>
        <w:jc w:val="both"/>
        <w:textAlignment w:val="baseline"/>
        <w:rPr>
          <w:rFonts w:ascii="Century Gothic" w:hAnsi="Century Gothic" w:cs="Arial"/>
          <w:color w:val="333333"/>
          <w:sz w:val="22"/>
          <w:szCs w:val="22"/>
          <w:lang w:val="es-ES" w:eastAsia="en-US"/>
        </w:rPr>
      </w:pPr>
      <w:r w:rsidRPr="00533C7F">
        <w:rPr>
          <w:rFonts w:ascii="Century Gothic" w:hAnsi="Century Gothic" w:cs="Arial"/>
          <w:color w:val="333333"/>
          <w:sz w:val="22"/>
          <w:szCs w:val="22"/>
          <w:lang w:val="es-ES" w:eastAsia="en-US"/>
        </w:rPr>
        <w:t>La responsabilidad es un aprendizaje que cualquier ser humano adquiere a nivel de </w:t>
      </w:r>
      <w:hyperlink r:id="rId7" w:history="1">
        <w:r w:rsidRPr="00533C7F">
          <w:rPr>
            <w:rFonts w:ascii="Century Gothic" w:hAnsi="Century Gothic" w:cs="Arial"/>
            <w:b/>
            <w:bCs/>
            <w:color w:val="ED8E15"/>
            <w:sz w:val="22"/>
            <w:szCs w:val="22"/>
            <w:u w:val="single"/>
            <w:bdr w:val="none" w:sz="0" w:space="0" w:color="auto" w:frame="1"/>
            <w:shd w:val="clear" w:color="auto" w:fill="F4F2EC"/>
            <w:lang w:val="es-ES" w:eastAsia="en-US"/>
          </w:rPr>
          <w:t>inteligencia</w:t>
        </w:r>
      </w:hyperlink>
      <w:r w:rsidRPr="00533C7F">
        <w:rPr>
          <w:rFonts w:ascii="Century Gothic" w:hAnsi="Century Gothic" w:cs="Arial"/>
          <w:color w:val="333333"/>
          <w:sz w:val="22"/>
          <w:szCs w:val="22"/>
          <w:lang w:val="es-ES" w:eastAsia="en-US"/>
        </w:rPr>
        <w:t> emocional a lo largo de los años. La responsabilidad no es algo exclusivo de los adultos ya que cualquier persona, también los niños, pueden hacerse cargo de una actividad concreta de forma acorde a su edad. Por ejemplo, los niños también pueden asumir la responsabilidad de colaborar con algunas pequeñas tareas de la casa de forma acorde a su edad. De esta forma, el aprendizaje de la responsabilidad se interioriza a través de la práctica.,</w:t>
      </w:r>
    </w:p>
    <w:p w:rsidR="003844E5" w:rsidRPr="00533C7F" w:rsidRDefault="003844E5" w:rsidP="003844E5">
      <w:pPr>
        <w:shd w:val="clear" w:color="auto" w:fill="FFFFFF"/>
        <w:spacing w:line="357" w:lineRule="atLeast"/>
        <w:jc w:val="both"/>
        <w:textAlignment w:val="baseline"/>
        <w:rPr>
          <w:rFonts w:ascii="Century Gothic" w:hAnsi="Century Gothic" w:cs="Arial"/>
          <w:color w:val="333333"/>
          <w:sz w:val="22"/>
          <w:szCs w:val="22"/>
          <w:lang w:val="es-ES" w:eastAsia="en-US"/>
        </w:rPr>
      </w:pPr>
      <w:r w:rsidRPr="00533C7F">
        <w:rPr>
          <w:rFonts w:ascii="Century Gothic" w:hAnsi="Century Gothic" w:cs="Arial"/>
          <w:color w:val="333333"/>
          <w:sz w:val="22"/>
          <w:szCs w:val="22"/>
          <w:lang w:val="es-ES" w:eastAsia="en-US"/>
        </w:rPr>
        <w:t>Del mismo modo, a través de los </w:t>
      </w:r>
      <w:hyperlink r:id="rId8" w:history="1">
        <w:r w:rsidRPr="00533C7F">
          <w:rPr>
            <w:rFonts w:ascii="Century Gothic" w:hAnsi="Century Gothic" w:cs="Arial"/>
            <w:b/>
            <w:bCs/>
            <w:color w:val="ED8E15"/>
            <w:sz w:val="22"/>
            <w:szCs w:val="22"/>
            <w:u w:val="single"/>
            <w:bdr w:val="none" w:sz="0" w:space="0" w:color="auto" w:frame="1"/>
            <w:shd w:val="clear" w:color="auto" w:fill="F4F2EC"/>
            <w:lang w:val="es-ES" w:eastAsia="en-US"/>
          </w:rPr>
          <w:t>deberes</w:t>
        </w:r>
      </w:hyperlink>
      <w:r w:rsidRPr="00533C7F">
        <w:rPr>
          <w:rFonts w:ascii="Century Gothic" w:hAnsi="Century Gothic" w:cs="Arial"/>
          <w:color w:val="333333"/>
          <w:sz w:val="22"/>
          <w:szCs w:val="22"/>
          <w:lang w:val="es-ES" w:eastAsia="en-US"/>
        </w:rPr>
        <w:t> que los niños realizan en el colegio también interiorizan la responsabilidad de cumplir con un </w:t>
      </w:r>
      <w:hyperlink r:id="rId9" w:history="1">
        <w:r w:rsidRPr="00533C7F">
          <w:rPr>
            <w:rFonts w:ascii="Century Gothic" w:hAnsi="Century Gothic" w:cs="Arial"/>
            <w:b/>
            <w:bCs/>
            <w:color w:val="ED8E15"/>
            <w:sz w:val="22"/>
            <w:szCs w:val="22"/>
            <w:u w:val="single"/>
            <w:bdr w:val="none" w:sz="0" w:space="0" w:color="auto" w:frame="1"/>
            <w:shd w:val="clear" w:color="auto" w:fill="F4F2EC"/>
            <w:lang w:val="es-ES" w:eastAsia="en-US"/>
          </w:rPr>
          <w:t>deber</w:t>
        </w:r>
      </w:hyperlink>
      <w:r w:rsidRPr="00533C7F">
        <w:rPr>
          <w:rFonts w:ascii="Century Gothic" w:hAnsi="Century Gothic" w:cs="Arial"/>
          <w:color w:val="333333"/>
          <w:sz w:val="22"/>
          <w:szCs w:val="22"/>
          <w:lang w:val="es-ES" w:eastAsia="en-US"/>
        </w:rPr>
        <w:t> concreto. La responsabilidad también surge a partir del concepto de </w:t>
      </w:r>
      <w:hyperlink r:id="rId10" w:history="1">
        <w:r w:rsidRPr="00533C7F">
          <w:rPr>
            <w:rFonts w:ascii="Century Gothic" w:hAnsi="Century Gothic" w:cs="Arial"/>
            <w:b/>
            <w:bCs/>
            <w:color w:val="ED8E15"/>
            <w:sz w:val="22"/>
            <w:szCs w:val="22"/>
            <w:u w:val="single"/>
            <w:bdr w:val="none" w:sz="0" w:space="0" w:color="auto" w:frame="1"/>
            <w:shd w:val="clear" w:color="auto" w:fill="F4F2EC"/>
            <w:lang w:val="es-ES" w:eastAsia="en-US"/>
          </w:rPr>
          <w:t>norma</w:t>
        </w:r>
      </w:hyperlink>
      <w:r w:rsidRPr="00533C7F">
        <w:rPr>
          <w:rFonts w:ascii="Century Gothic" w:hAnsi="Century Gothic" w:cs="Arial"/>
          <w:color w:val="333333"/>
          <w:sz w:val="22"/>
          <w:szCs w:val="22"/>
          <w:lang w:val="es-ES" w:eastAsia="en-US"/>
        </w:rPr>
        <w:t>. Es decir, cualquier persona tiene unos derechos y unas </w:t>
      </w:r>
      <w:hyperlink r:id="rId11" w:history="1">
        <w:r w:rsidRPr="00533C7F">
          <w:rPr>
            <w:rFonts w:ascii="Century Gothic" w:hAnsi="Century Gothic" w:cs="Arial"/>
            <w:b/>
            <w:bCs/>
            <w:color w:val="ED8E15"/>
            <w:sz w:val="22"/>
            <w:szCs w:val="22"/>
            <w:u w:val="single"/>
            <w:bdr w:val="none" w:sz="0" w:space="0" w:color="auto" w:frame="1"/>
            <w:shd w:val="clear" w:color="auto" w:fill="F4F2EC"/>
            <w:lang w:val="es-ES" w:eastAsia="en-US"/>
          </w:rPr>
          <w:t>obligaciones</w:t>
        </w:r>
      </w:hyperlink>
      <w:r w:rsidRPr="00533C7F">
        <w:rPr>
          <w:rFonts w:ascii="Century Gothic" w:hAnsi="Century Gothic" w:cs="Arial"/>
          <w:color w:val="333333"/>
          <w:sz w:val="22"/>
          <w:szCs w:val="22"/>
          <w:lang w:val="es-ES" w:eastAsia="en-US"/>
        </w:rPr>
        <w:t>, por tanto, también debe de cumplir con sus responsabilidades.</w:t>
      </w:r>
    </w:p>
    <w:p w:rsidR="00633530" w:rsidRPr="00533C7F" w:rsidRDefault="00633530" w:rsidP="00280118">
      <w:pPr>
        <w:jc w:val="both"/>
        <w:rPr>
          <w:rFonts w:ascii="Century Gothic" w:hAnsi="Century Gothic" w:cs="Arial"/>
          <w:sz w:val="22"/>
          <w:szCs w:val="22"/>
        </w:rPr>
      </w:pPr>
    </w:p>
    <w:p w:rsidR="00981CCF" w:rsidRPr="00533C7F" w:rsidRDefault="00533C7F" w:rsidP="00280118">
      <w:pPr>
        <w:jc w:val="both"/>
        <w:rPr>
          <w:rFonts w:ascii="Century Gothic" w:hAnsi="Century Gothic" w:cs="Arial"/>
          <w:sz w:val="22"/>
          <w:szCs w:val="22"/>
        </w:rPr>
      </w:pPr>
      <w:r>
        <w:rPr>
          <w:rFonts w:ascii="Century Gothic" w:hAnsi="Century Gothic" w:cs="Arial"/>
          <w:sz w:val="22"/>
          <w:szCs w:val="22"/>
        </w:rPr>
        <w:t>Lo</w:t>
      </w:r>
      <w:r w:rsidR="00981CCF" w:rsidRPr="00533C7F">
        <w:rPr>
          <w:rFonts w:ascii="Century Gothic" w:hAnsi="Century Gothic" w:cs="Arial"/>
          <w:sz w:val="22"/>
          <w:szCs w:val="22"/>
        </w:rPr>
        <w:t>s invito a reflexionar, a pensar, a conversar, sobre el momento que vive nuestra comunidad educativa, nuestra Comuna. Nuestra  región, en relación a Covid-19.</w:t>
      </w:r>
    </w:p>
    <w:p w:rsidR="00280118" w:rsidRPr="00533C7F" w:rsidRDefault="00280118" w:rsidP="00280118">
      <w:pPr>
        <w:jc w:val="both"/>
        <w:rPr>
          <w:rFonts w:ascii="Century Gothic" w:hAnsi="Century Gothic" w:cs="Arial"/>
          <w:sz w:val="22"/>
          <w:szCs w:val="22"/>
        </w:rPr>
      </w:pPr>
    </w:p>
    <w:p w:rsidR="00981CCF" w:rsidRPr="00533C7F" w:rsidRDefault="00981CCF" w:rsidP="00280118">
      <w:pPr>
        <w:jc w:val="both"/>
        <w:rPr>
          <w:rFonts w:ascii="Century Gothic" w:hAnsi="Century Gothic" w:cs="Arial"/>
          <w:sz w:val="22"/>
          <w:szCs w:val="22"/>
        </w:rPr>
      </w:pPr>
      <w:r w:rsidRPr="00533C7F">
        <w:rPr>
          <w:rFonts w:ascii="Century Gothic" w:hAnsi="Century Gothic" w:cs="Arial"/>
          <w:sz w:val="22"/>
          <w:szCs w:val="22"/>
        </w:rPr>
        <w:t>1.- Una vez que has analizado el momento, presente, te invito a realizar el siguiente ejercicio:</w:t>
      </w:r>
    </w:p>
    <w:p w:rsidR="00981CCF" w:rsidRPr="00533C7F" w:rsidRDefault="00981CCF" w:rsidP="00280118">
      <w:pPr>
        <w:jc w:val="both"/>
        <w:rPr>
          <w:rFonts w:ascii="Century Gothic" w:hAnsi="Century Gothic" w:cs="Arial"/>
          <w:sz w:val="22"/>
          <w:szCs w:val="22"/>
        </w:rPr>
      </w:pPr>
    </w:p>
    <w:p w:rsidR="00981CCF" w:rsidRPr="00533C7F" w:rsidRDefault="00533C7F" w:rsidP="00533C7F">
      <w:pPr>
        <w:jc w:val="both"/>
        <w:rPr>
          <w:rFonts w:ascii="Century Gothic" w:hAnsi="Century Gothic" w:cs="Arial"/>
          <w:sz w:val="22"/>
          <w:szCs w:val="22"/>
        </w:rPr>
      </w:pPr>
      <w:r>
        <w:rPr>
          <w:rFonts w:ascii="Century Gothic" w:hAnsi="Century Gothic" w:cs="Arial"/>
          <w:sz w:val="22"/>
          <w:szCs w:val="22"/>
        </w:rPr>
        <w:t xml:space="preserve">2.- </w:t>
      </w:r>
      <w:r w:rsidR="00981CCF" w:rsidRPr="00533C7F">
        <w:rPr>
          <w:rFonts w:ascii="Century Gothic" w:hAnsi="Century Gothic" w:cs="Arial"/>
          <w:sz w:val="22"/>
          <w:szCs w:val="22"/>
        </w:rPr>
        <w:t>Elabora un collage, que represente el momento.</w:t>
      </w:r>
    </w:p>
    <w:p w:rsidR="00981CCF" w:rsidRPr="00533C7F" w:rsidRDefault="00981CCF" w:rsidP="00981CCF">
      <w:pPr>
        <w:pStyle w:val="Prrafodelista"/>
        <w:jc w:val="both"/>
        <w:rPr>
          <w:rFonts w:ascii="Century Gothic" w:hAnsi="Century Gothic" w:cs="Arial"/>
          <w:sz w:val="22"/>
          <w:szCs w:val="22"/>
        </w:rPr>
      </w:pPr>
    </w:p>
    <w:p w:rsidR="00ED6C9A" w:rsidRPr="00533C7F" w:rsidRDefault="00ED6C9A" w:rsidP="00533C7F">
      <w:pPr>
        <w:jc w:val="both"/>
        <w:rPr>
          <w:rFonts w:ascii="Century Gothic" w:hAnsi="Century Gothic" w:cs="Arial"/>
          <w:sz w:val="22"/>
          <w:szCs w:val="22"/>
        </w:rPr>
      </w:pPr>
      <w:r w:rsidRPr="00533C7F">
        <w:rPr>
          <w:rFonts w:ascii="Century Gothic" w:hAnsi="Century Gothic" w:cs="Arial"/>
          <w:sz w:val="22"/>
          <w:szCs w:val="22"/>
        </w:rPr>
        <w:t>Lu</w:t>
      </w:r>
      <w:r w:rsidR="003844E5" w:rsidRPr="00533C7F">
        <w:rPr>
          <w:rFonts w:ascii="Century Gothic" w:hAnsi="Century Gothic" w:cs="Arial"/>
          <w:sz w:val="22"/>
          <w:szCs w:val="22"/>
        </w:rPr>
        <w:t>ego completa la siguiente tabla, indicando que acciones son responsables e irresponsables ante el momento que estamos viviendo en estos momentos.</w:t>
      </w:r>
    </w:p>
    <w:tbl>
      <w:tblPr>
        <w:tblStyle w:val="Tablaconcuadrcula"/>
        <w:tblW w:w="11341" w:type="dxa"/>
        <w:tblInd w:w="-34" w:type="dxa"/>
        <w:tblLook w:val="04A0" w:firstRow="1" w:lastRow="0" w:firstColumn="1" w:lastColumn="0" w:noHBand="0" w:noVBand="1"/>
      </w:tblPr>
      <w:tblGrid>
        <w:gridCol w:w="5670"/>
        <w:gridCol w:w="5671"/>
      </w:tblGrid>
      <w:tr w:rsidR="00ED6C9A" w:rsidRPr="00533C7F" w:rsidTr="00533C7F">
        <w:tc>
          <w:tcPr>
            <w:tcW w:w="5670" w:type="dxa"/>
          </w:tcPr>
          <w:p w:rsidR="00ED6C9A" w:rsidRPr="00533C7F" w:rsidRDefault="00ED6C9A" w:rsidP="00533C7F">
            <w:pPr>
              <w:pStyle w:val="Prrafodelista"/>
              <w:ind w:left="0"/>
              <w:jc w:val="center"/>
              <w:rPr>
                <w:rFonts w:ascii="Century Gothic" w:hAnsi="Century Gothic" w:cs="Arial"/>
                <w:b/>
                <w:sz w:val="22"/>
                <w:szCs w:val="22"/>
              </w:rPr>
            </w:pPr>
            <w:r w:rsidRPr="00533C7F">
              <w:rPr>
                <w:rFonts w:ascii="Century Gothic" w:hAnsi="Century Gothic" w:cs="Arial"/>
                <w:b/>
                <w:sz w:val="22"/>
                <w:szCs w:val="22"/>
              </w:rPr>
              <w:t>Es responsable</w:t>
            </w:r>
          </w:p>
        </w:tc>
        <w:tc>
          <w:tcPr>
            <w:tcW w:w="5671" w:type="dxa"/>
          </w:tcPr>
          <w:p w:rsidR="00ED6C9A" w:rsidRPr="00533C7F" w:rsidRDefault="00ED6C9A" w:rsidP="00533C7F">
            <w:pPr>
              <w:pStyle w:val="Prrafodelista"/>
              <w:ind w:left="0"/>
              <w:jc w:val="center"/>
              <w:rPr>
                <w:rFonts w:ascii="Century Gothic" w:hAnsi="Century Gothic" w:cs="Arial"/>
                <w:b/>
                <w:sz w:val="22"/>
                <w:szCs w:val="22"/>
              </w:rPr>
            </w:pPr>
            <w:r w:rsidRPr="00533C7F">
              <w:rPr>
                <w:rFonts w:ascii="Century Gothic" w:hAnsi="Century Gothic" w:cs="Arial"/>
                <w:b/>
                <w:sz w:val="22"/>
                <w:szCs w:val="22"/>
              </w:rPr>
              <w:t>Es una acción irresponsable</w:t>
            </w:r>
          </w:p>
        </w:tc>
        <w:bookmarkStart w:id="0" w:name="_GoBack"/>
        <w:bookmarkEnd w:id="0"/>
      </w:tr>
      <w:tr w:rsidR="00ED6C9A" w:rsidRPr="00533C7F" w:rsidTr="00533C7F">
        <w:tc>
          <w:tcPr>
            <w:tcW w:w="5670" w:type="dxa"/>
          </w:tcPr>
          <w:p w:rsidR="00ED6C9A" w:rsidRPr="00533C7F" w:rsidRDefault="00ED6C9A" w:rsidP="00981CCF">
            <w:pPr>
              <w:pStyle w:val="Prrafodelista"/>
              <w:ind w:left="0"/>
              <w:jc w:val="both"/>
              <w:rPr>
                <w:rFonts w:ascii="Century Gothic" w:hAnsi="Century Gothic" w:cs="Arial"/>
                <w:sz w:val="22"/>
                <w:szCs w:val="22"/>
              </w:rPr>
            </w:pPr>
          </w:p>
        </w:tc>
        <w:tc>
          <w:tcPr>
            <w:tcW w:w="5671" w:type="dxa"/>
          </w:tcPr>
          <w:p w:rsidR="00ED6C9A" w:rsidRDefault="00ED6C9A" w:rsidP="00981CCF">
            <w:pPr>
              <w:pStyle w:val="Prrafodelista"/>
              <w:ind w:left="0"/>
              <w:jc w:val="both"/>
              <w:rPr>
                <w:rFonts w:ascii="Century Gothic" w:hAnsi="Century Gothic" w:cs="Arial"/>
                <w:sz w:val="22"/>
                <w:szCs w:val="22"/>
              </w:rPr>
            </w:pPr>
          </w:p>
          <w:p w:rsidR="00533C7F" w:rsidRPr="00533C7F" w:rsidRDefault="00533C7F" w:rsidP="00981CCF">
            <w:pPr>
              <w:pStyle w:val="Prrafodelista"/>
              <w:ind w:left="0"/>
              <w:jc w:val="both"/>
              <w:rPr>
                <w:rFonts w:ascii="Century Gothic" w:hAnsi="Century Gothic" w:cs="Arial"/>
                <w:sz w:val="22"/>
                <w:szCs w:val="22"/>
              </w:rPr>
            </w:pPr>
          </w:p>
        </w:tc>
      </w:tr>
      <w:tr w:rsidR="00ED6C9A" w:rsidRPr="00533C7F" w:rsidTr="00533C7F">
        <w:tc>
          <w:tcPr>
            <w:tcW w:w="5670" w:type="dxa"/>
          </w:tcPr>
          <w:p w:rsidR="00ED6C9A" w:rsidRPr="00533C7F" w:rsidRDefault="00ED6C9A" w:rsidP="00981CCF">
            <w:pPr>
              <w:pStyle w:val="Prrafodelista"/>
              <w:ind w:left="0"/>
              <w:jc w:val="both"/>
              <w:rPr>
                <w:rFonts w:ascii="Century Gothic" w:hAnsi="Century Gothic" w:cs="Arial"/>
                <w:sz w:val="22"/>
                <w:szCs w:val="22"/>
              </w:rPr>
            </w:pPr>
          </w:p>
        </w:tc>
        <w:tc>
          <w:tcPr>
            <w:tcW w:w="5671" w:type="dxa"/>
          </w:tcPr>
          <w:p w:rsidR="00ED6C9A" w:rsidRDefault="00ED6C9A" w:rsidP="00981CCF">
            <w:pPr>
              <w:pStyle w:val="Prrafodelista"/>
              <w:ind w:left="0"/>
              <w:jc w:val="both"/>
              <w:rPr>
                <w:rFonts w:ascii="Century Gothic" w:hAnsi="Century Gothic" w:cs="Arial"/>
                <w:sz w:val="22"/>
                <w:szCs w:val="22"/>
              </w:rPr>
            </w:pPr>
          </w:p>
          <w:p w:rsidR="00533C7F" w:rsidRPr="00533C7F" w:rsidRDefault="00533C7F" w:rsidP="00981CCF">
            <w:pPr>
              <w:pStyle w:val="Prrafodelista"/>
              <w:ind w:left="0"/>
              <w:jc w:val="both"/>
              <w:rPr>
                <w:rFonts w:ascii="Century Gothic" w:hAnsi="Century Gothic" w:cs="Arial"/>
                <w:sz w:val="22"/>
                <w:szCs w:val="22"/>
              </w:rPr>
            </w:pPr>
          </w:p>
        </w:tc>
      </w:tr>
      <w:tr w:rsidR="00ED6C9A" w:rsidRPr="00533C7F" w:rsidTr="00533C7F">
        <w:tc>
          <w:tcPr>
            <w:tcW w:w="5670" w:type="dxa"/>
          </w:tcPr>
          <w:p w:rsidR="00ED6C9A" w:rsidRPr="00533C7F" w:rsidRDefault="00ED6C9A" w:rsidP="00981CCF">
            <w:pPr>
              <w:pStyle w:val="Prrafodelista"/>
              <w:ind w:left="0"/>
              <w:jc w:val="both"/>
              <w:rPr>
                <w:rFonts w:ascii="Century Gothic" w:hAnsi="Century Gothic" w:cs="Arial"/>
                <w:sz w:val="22"/>
                <w:szCs w:val="22"/>
              </w:rPr>
            </w:pPr>
          </w:p>
        </w:tc>
        <w:tc>
          <w:tcPr>
            <w:tcW w:w="5671" w:type="dxa"/>
          </w:tcPr>
          <w:p w:rsidR="00ED6C9A" w:rsidRDefault="00ED6C9A" w:rsidP="00981CCF">
            <w:pPr>
              <w:pStyle w:val="Prrafodelista"/>
              <w:ind w:left="0"/>
              <w:jc w:val="both"/>
              <w:rPr>
                <w:rFonts w:ascii="Century Gothic" w:hAnsi="Century Gothic" w:cs="Arial"/>
                <w:sz w:val="22"/>
                <w:szCs w:val="22"/>
              </w:rPr>
            </w:pPr>
          </w:p>
          <w:p w:rsidR="00533C7F" w:rsidRPr="00533C7F" w:rsidRDefault="00533C7F" w:rsidP="00981CCF">
            <w:pPr>
              <w:pStyle w:val="Prrafodelista"/>
              <w:ind w:left="0"/>
              <w:jc w:val="both"/>
              <w:rPr>
                <w:rFonts w:ascii="Century Gothic" w:hAnsi="Century Gothic" w:cs="Arial"/>
                <w:sz w:val="22"/>
                <w:szCs w:val="22"/>
              </w:rPr>
            </w:pPr>
          </w:p>
        </w:tc>
      </w:tr>
      <w:tr w:rsidR="00ED6C9A" w:rsidRPr="00533C7F" w:rsidTr="00533C7F">
        <w:tc>
          <w:tcPr>
            <w:tcW w:w="5670" w:type="dxa"/>
          </w:tcPr>
          <w:p w:rsidR="00ED6C9A" w:rsidRPr="00533C7F" w:rsidRDefault="00ED6C9A" w:rsidP="00981CCF">
            <w:pPr>
              <w:pStyle w:val="Prrafodelista"/>
              <w:ind w:left="0"/>
              <w:jc w:val="both"/>
              <w:rPr>
                <w:rFonts w:ascii="Century Gothic" w:hAnsi="Century Gothic" w:cs="Arial"/>
                <w:sz w:val="22"/>
                <w:szCs w:val="22"/>
              </w:rPr>
            </w:pPr>
          </w:p>
        </w:tc>
        <w:tc>
          <w:tcPr>
            <w:tcW w:w="5671" w:type="dxa"/>
          </w:tcPr>
          <w:p w:rsidR="00ED6C9A" w:rsidRDefault="00ED6C9A" w:rsidP="00981CCF">
            <w:pPr>
              <w:pStyle w:val="Prrafodelista"/>
              <w:ind w:left="0"/>
              <w:jc w:val="both"/>
              <w:rPr>
                <w:rFonts w:ascii="Century Gothic" w:hAnsi="Century Gothic" w:cs="Arial"/>
                <w:sz w:val="22"/>
                <w:szCs w:val="22"/>
              </w:rPr>
            </w:pPr>
          </w:p>
          <w:p w:rsidR="00533C7F" w:rsidRPr="00533C7F" w:rsidRDefault="00533C7F" w:rsidP="00981CCF">
            <w:pPr>
              <w:pStyle w:val="Prrafodelista"/>
              <w:ind w:left="0"/>
              <w:jc w:val="both"/>
              <w:rPr>
                <w:rFonts w:ascii="Century Gothic" w:hAnsi="Century Gothic" w:cs="Arial"/>
                <w:sz w:val="22"/>
                <w:szCs w:val="22"/>
              </w:rPr>
            </w:pPr>
          </w:p>
        </w:tc>
      </w:tr>
      <w:tr w:rsidR="00ED6C9A" w:rsidRPr="00533C7F" w:rsidTr="00533C7F">
        <w:tc>
          <w:tcPr>
            <w:tcW w:w="5670" w:type="dxa"/>
          </w:tcPr>
          <w:p w:rsidR="00ED6C9A" w:rsidRPr="00533C7F" w:rsidRDefault="00ED6C9A" w:rsidP="00981CCF">
            <w:pPr>
              <w:pStyle w:val="Prrafodelista"/>
              <w:ind w:left="0"/>
              <w:jc w:val="both"/>
              <w:rPr>
                <w:rFonts w:ascii="Century Gothic" w:hAnsi="Century Gothic" w:cs="Arial"/>
                <w:sz w:val="22"/>
                <w:szCs w:val="22"/>
              </w:rPr>
            </w:pPr>
          </w:p>
        </w:tc>
        <w:tc>
          <w:tcPr>
            <w:tcW w:w="5671" w:type="dxa"/>
          </w:tcPr>
          <w:p w:rsidR="00ED6C9A" w:rsidRDefault="00ED6C9A" w:rsidP="00981CCF">
            <w:pPr>
              <w:pStyle w:val="Prrafodelista"/>
              <w:ind w:left="0"/>
              <w:jc w:val="both"/>
              <w:rPr>
                <w:rFonts w:ascii="Century Gothic" w:hAnsi="Century Gothic" w:cs="Arial"/>
                <w:sz w:val="22"/>
                <w:szCs w:val="22"/>
              </w:rPr>
            </w:pPr>
          </w:p>
          <w:p w:rsidR="00533C7F" w:rsidRPr="00533C7F" w:rsidRDefault="00533C7F" w:rsidP="00981CCF">
            <w:pPr>
              <w:pStyle w:val="Prrafodelista"/>
              <w:ind w:left="0"/>
              <w:jc w:val="both"/>
              <w:rPr>
                <w:rFonts w:ascii="Century Gothic" w:hAnsi="Century Gothic" w:cs="Arial"/>
                <w:sz w:val="22"/>
                <w:szCs w:val="22"/>
              </w:rPr>
            </w:pPr>
          </w:p>
        </w:tc>
      </w:tr>
    </w:tbl>
    <w:p w:rsidR="00ED6C9A" w:rsidRPr="00533C7F" w:rsidRDefault="00ED6C9A" w:rsidP="00533C7F">
      <w:pPr>
        <w:jc w:val="both"/>
        <w:rPr>
          <w:rFonts w:ascii="Century Gothic" w:hAnsi="Century Gothic" w:cs="Arial"/>
          <w:sz w:val="22"/>
          <w:szCs w:val="22"/>
        </w:rPr>
      </w:pPr>
    </w:p>
    <w:sectPr w:rsidR="00ED6C9A" w:rsidRPr="00533C7F" w:rsidSect="00533C7F">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Poor Richard">
    <w:panose1 w:val="02080502050505020702"/>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31421"/>
    <w:multiLevelType w:val="hybridMultilevel"/>
    <w:tmpl w:val="274CEEDA"/>
    <w:lvl w:ilvl="0" w:tplc="82DCBE96">
      <w:start w:val="1"/>
      <w:numFmt w:val="bullet"/>
      <w:lvlText w:val="-"/>
      <w:lvlJc w:val="left"/>
      <w:pPr>
        <w:ind w:left="720" w:hanging="360"/>
      </w:pPr>
      <w:rPr>
        <w:rFonts w:ascii="Century Gothic" w:eastAsia="Times New Roman" w:hAnsi="Century Gothic"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118"/>
    <w:rsid w:val="00280118"/>
    <w:rsid w:val="003844E5"/>
    <w:rsid w:val="00533C7F"/>
    <w:rsid w:val="00633530"/>
    <w:rsid w:val="00981CCF"/>
    <w:rsid w:val="00C37F17"/>
    <w:rsid w:val="00ED6C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0118"/>
    <w:pPr>
      <w:spacing w:after="0" w:line="240" w:lineRule="auto"/>
    </w:pPr>
    <w:rPr>
      <w:rFonts w:ascii="Times New Roman" w:eastAsia="Times New Roman" w:hAnsi="Times New Roman" w:cs="Times New Roman"/>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81CCF"/>
    <w:pPr>
      <w:ind w:left="720"/>
      <w:contextualSpacing/>
    </w:pPr>
  </w:style>
  <w:style w:type="table" w:styleId="Tablaconcuadrcula">
    <w:name w:val="Table Grid"/>
    <w:basedOn w:val="Tablanormal"/>
    <w:uiPriority w:val="39"/>
    <w:rsid w:val="00ED6C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0118"/>
    <w:pPr>
      <w:spacing w:after="0" w:line="240" w:lineRule="auto"/>
    </w:pPr>
    <w:rPr>
      <w:rFonts w:ascii="Times New Roman" w:eastAsia="Times New Roman" w:hAnsi="Times New Roman" w:cs="Times New Roman"/>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81CCF"/>
    <w:pPr>
      <w:ind w:left="720"/>
      <w:contextualSpacing/>
    </w:pPr>
  </w:style>
  <w:style w:type="table" w:styleId="Tablaconcuadrcula">
    <w:name w:val="Table Grid"/>
    <w:basedOn w:val="Tablanormal"/>
    <w:uiPriority w:val="39"/>
    <w:rsid w:val="00ED6C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finicion.mx/deberes/"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definicion.mx/inteligenci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definicion.mx/obligaciones/" TargetMode="External"/><Relationship Id="rId5" Type="http://schemas.openxmlformats.org/officeDocument/2006/relationships/webSettings" Target="webSettings.xml"/><Relationship Id="rId10" Type="http://schemas.openxmlformats.org/officeDocument/2006/relationships/hyperlink" Target="https://definicion.mx/norma/" TargetMode="External"/><Relationship Id="rId4" Type="http://schemas.openxmlformats.org/officeDocument/2006/relationships/settings" Target="settings.xml"/><Relationship Id="rId9" Type="http://schemas.openxmlformats.org/officeDocument/2006/relationships/hyperlink" Target="https://definicion.mx/debe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338</Words>
  <Characters>1865</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vilches sotelo</dc:creator>
  <cp:keywords/>
  <dc:description/>
  <cp:lastModifiedBy>Ale</cp:lastModifiedBy>
  <cp:revision>5</cp:revision>
  <dcterms:created xsi:type="dcterms:W3CDTF">2020-05-17T21:28:00Z</dcterms:created>
  <dcterms:modified xsi:type="dcterms:W3CDTF">2020-05-18T22:48:00Z</dcterms:modified>
</cp:coreProperties>
</file>